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80" w:type="dxa"/>
        <w:tblInd w:w="93" w:type="dxa"/>
        <w:tblLook w:val="04A0" w:firstRow="1" w:lastRow="0" w:firstColumn="1" w:lastColumn="0" w:noHBand="0" w:noVBand="1"/>
      </w:tblPr>
      <w:tblGrid>
        <w:gridCol w:w="7958"/>
        <w:gridCol w:w="3261"/>
        <w:gridCol w:w="3261"/>
      </w:tblGrid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C0E" w:rsidRPr="003A0C0E" w:rsidRDefault="003A0C0E" w:rsidP="003A0C0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0" w:name="_GoBack"/>
            <w:r w:rsidRPr="003A0C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Task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C0E" w:rsidRPr="003A0C0E" w:rsidRDefault="003A0C0E" w:rsidP="003A0C0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C0E" w:rsidRPr="003A0C0E" w:rsidRDefault="003A0C0E" w:rsidP="003A0C0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*Outreach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Elizabeth</w:t>
            </w: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*Review and improve tutorials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*Improve and make consistent command line help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*Work with developers to add missing tutorials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*Generate and improve service specific user manuals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*Improve “start up” documentation for users and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developers  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*Plan fall user meeting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Begin Overall KBase Manual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Webinars and YouTube Video tutorials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Create master schedule for boot camps, developer tutorials, etc.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j.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User feedback and future requirements processes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Launch KBase user forum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Plan/priorities KBase appearances at meetings and conferences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Prepare standard slide decks for use at meetings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n.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Establish working groups at the BRC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*System Deployment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Dan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*Move repos to git hub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*Make KBase environment deployable to third party site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9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lastRenderedPageBreak/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*Enable KBase data load from dump files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Improve deployment testing and validation process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Implement open source license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Contributor agreements in place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**Improving KBase Production Capabilities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Rick.X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Shane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*KBase servers in place at LBNL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*Core services replicated at LBNL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*Fail over running and tested at LBNL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*Shock server up with 300TB capacity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*AWE production instances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*Pipeline monitoring and management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*System Monitoring and Logging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Determine which services should be at BNL and ORNL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Update slides with current services mapping to sites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4.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*User Support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Adam.2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Nomi</w:t>
            </w: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*Reorganize web site to make finding tutorials and documentation easier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*Ticket system</w:t>
            </w:r>
            <w:r w:rsidRPr="003A0C0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*Front line support team identified and in place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*User feedback loop working with developer cycle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*Establish needed e-mail list for user support requests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5.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Developer Training and Tutorials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Tom</w:t>
            </w: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*Refine bootcamp syllabus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*Authentication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*Logging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*Cluster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*AWE tutorials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*Shock tutorials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Search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ERDB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noSQL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j.   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Kbase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Developer Handbook/Guide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k.   List KBase Policies and Best Practices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    Workspace Service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6.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*Improving the API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Adam.3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Mike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*Cleanup the existing API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9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*Improve look and feel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9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*Make consistent functional name space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*Consistent Arguments, help etc.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9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*Create Discovery options for REST and Functional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*Improve exemplars and help functions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Extensions to API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12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Fill in missing functionality (functions, data types, side effects)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800" w:firstLine="3600"/>
              <w:rPr>
                <w:rFonts w:ascii="Cambria" w:eastAsia="Times New Roman" w:hAnsi="Cambria" w:cs="Times New Roman"/>
                <w:color w:val="FF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FF0000"/>
                <w:sz w:val="20"/>
                <w:szCs w:val="20"/>
              </w:rPr>
              <w:t>1. MG-derived draft genome contigs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800" w:firstLine="3600"/>
              <w:rPr>
                <w:rFonts w:ascii="Cambria" w:eastAsia="Times New Roman" w:hAnsi="Cambria" w:cs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800" w:firstLine="3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800" w:firstLine="3600"/>
              <w:rPr>
                <w:rFonts w:ascii="Cambria" w:eastAsia="Times New Roman" w:hAnsi="Cambria" w:cs="Times New Roman"/>
                <w:color w:val="FF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FF0000"/>
                <w:sz w:val="20"/>
                <w:szCs w:val="20"/>
              </w:rPr>
              <w:t>2. MG-derived draft genome genes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800" w:firstLine="3600"/>
              <w:rPr>
                <w:rFonts w:ascii="Cambria" w:eastAsia="Times New Roman" w:hAnsi="Cambria" w:cs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800" w:firstLine="3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800" w:firstLine="3600"/>
              <w:rPr>
                <w:rFonts w:ascii="Cambria" w:eastAsia="Times New Roman" w:hAnsi="Cambria" w:cs="Times New Roman"/>
                <w:color w:val="FF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FF0000"/>
                <w:sz w:val="20"/>
                <w:szCs w:val="20"/>
              </w:rPr>
              <w:t>3. MG-derived draft genome contig grouping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800" w:firstLine="3600"/>
              <w:rPr>
                <w:rFonts w:ascii="Cambria" w:eastAsia="Times New Roman" w:hAnsi="Cambria" w:cs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800" w:firstLine="3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*Add Logging to the Type Compiler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Investigate generating code for REST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automagically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Consider how API can work for large scale and many parallel function calls.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7.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**Start the Data Update Cycle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Terry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*Agree on scheme for versioning and release naming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*Update data model and deploy needed services to support this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9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*Put in place an automated system to generate weekly data dumps to KBase FTP and web download pages for all public datasets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Generate human readable tables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Generate standard formats (fasta, GFF3, etc.)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Generate data dumps that can be used to reload a KBase instance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*Specify and implement data integration pipelines to support automated update cycle for all common data types from common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respositories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*Put in place monthly data update process that includes all major data types in CDM and ADM (automate as much as possible)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Pull Prokaryote genomes from SEED/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Patric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/NCBI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Pull metagenomes from MG-RAST, IMG/M,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SRA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500" w:firstLine="1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 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ii.1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   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Greengenes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and SILVA 16S databases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500" w:firstLine="1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500" w:firstLine="1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Pull plant genomes from NCBI, Ensemble, JGI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Pull reference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euks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from NCBI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Expression data from GEO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Protein data from PRIDE and BRENDA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Enable automated QA and integration pipelines to process the data updates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PPI data from IntAct, etc.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500" w:firstLine="3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ix. Microbial Regulons from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RegPrecise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500" w:firstLine="3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500" w:firstLine="3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500" w:firstLine="3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x. Pathway database uploads (unspecified sources?)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500" w:firstLine="3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500" w:firstLine="3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Create a process to generate/curate reference and exemplars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Reference isolate genomes in CDM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Reference models for organisms in CDM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600" w:firstLine="3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Reannote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and rebuild models for all CDM genomes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600" w:firstLine="3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600" w:firstLine="3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200" w:firstLine="24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Reannotate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and rebuild models for all CDM genomes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200" w:firstLine="24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200" w:firstLine="24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Reference metagenomes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Reference plants, other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euks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Establish a monthly repeat of the annotation and model building process for isolate genomes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Establish Quarterly repeat of annotation for metagenomes and plants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8.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**Improve Data Models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Adam.4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Paramvir</w:t>
            </w:r>
            <w:proofErr w:type="spellEnd"/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*Clear Backlog on CDM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*Revised core data IDs and versioning model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*Do end-to-end data model improvement for Microbes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Firming up the data model for microbial phenotype data in the CDM, and ensuring that data is loaded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Carefully evaluate the current data model and consider adjusting to make it more usable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Load more phenotype data - all essential genes and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biolog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arrays, French bacillus phenotypes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*Merge plant and microbe data models for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expression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trees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(merge/factor various tree models)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annotations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variation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9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phenotypes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*Verify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Euk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data model (test on other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euk’s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human, etc.)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24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Generalize PPI and networks data model and normalized across organisms (plants, other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euks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, and microbes)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Improve and merge genotype to phenotype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respresentations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(plants, microbes)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Data model for merged tree support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Add OBO support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j. Unified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Kbase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concept of Dataset and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DataSource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15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9.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CDM Dataset Cleanup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Terry (merge with #7?)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*Clean up biochemistry data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Make sure all compound names are unique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Make sure the IDs are what we want them to be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Update to Sam's latest biochemistry with full plant data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Load as many available published genome-scale models as possible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500" w:firstLine="3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 v. Create a "role exemplars server"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500" w:firstLine="3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1500" w:firstLine="30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*Clean up PPI and other Network data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Add Exemplar Plant Expression data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Clean up Genotype-Phenotype data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KBase-wide unified CDM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auxiliary philosophy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Clean up Tree / MSA data (and move to Shock)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Plant Genomes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10.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**Create a Unified KBase wide NR and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FigFAM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/Kmer Servers needed for RAST/MGRAST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Andreas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*Create a KBase wide NR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*Include full alias support, gene names, external IDs, taxon, etc.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*Create super NR providing MD5 that unifies genomes and *metagenomes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*Stand up a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Memcache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server for M5nr (md5id to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function+taxon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mapping)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*Stand up a kmer server for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FigFAMs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Standup similarity searching on NR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Integrated NR updates as part of the data update cycle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Reconcile the KBase wide NR with Trees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11.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**Landing Pages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Adam.5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Paramvir</w:t>
            </w:r>
            <w:proofErr w:type="spellEnd"/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Build landing pages for all our important data objects including: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*Organisms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*Genomes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*WGS Metagenomes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*16S Environmental samples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*Reactions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*Compounds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*Models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FBA studies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ix.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Operons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x.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Regulons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xi.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Experiments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xii.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Users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xiii.   User Groups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xiv. Genes and Features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xv. Samples to represent materials (e.g. sediment)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                            xvi. Projects (to be added as a container of arbitrary things)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xvii. Metatranscriptomes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Verify the landing pages are automatically updated as datasets are updated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 navigation between types of landing pages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Create appropriate linkage between API “objects” and landing pages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 moving data from landing pages into user workspaces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400" w:firstLine="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400" w:firstLine="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400" w:firstLine="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12.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Workspaces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Chris</w:t>
            </w: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*Make workspaces something that works across KBase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Integrate sharing via unified ACL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Add "classes" to workspaces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Add a workspace publication mechanism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Improve object typing and metadata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Create mechanism for referring to KBase data, workflows and analyses in a publication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 unified search, sharing, copying, data typing,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 workflows using cluster and cloud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Relational Stores as part of the workspace (e.g.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TinyStore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*Firm up workspace browser as a means of viewing output and input to modeling, genome-annotation scripts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Make sure we have simple html views for all objects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Integrate workspace classes into this browser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*Integrate Data upload and Data Download mechanism with workspace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Work with Narrative team to ensure compatibility with design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13.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*Deploy Additional Infrastructure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Tom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*Set up production KBase wide runtime services for: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*Improver user account mechanism and ACL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*Generalized workspace service with provenance, versioning and publishing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PostgresQL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*Shock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*AWE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*Metadata/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Metazen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*Pipeline management/console capabilities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*Service monitoring and logging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12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*Implement standard way to handle data upload/download for variety of services and pipelines including metadata and injection to workspaces. </w:t>
            </w:r>
            <w:r w:rsidRPr="003A0C0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Tom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400" w:firstLine="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400" w:firstLine="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400" w:firstLine="8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14.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*Improve and Harden Existing Platform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Tom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*Firm up and make consistent scripts, pipelines and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Make sure commands are consistent and improve their usage documentation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Make sure all commands work in IRIS, iPython notebook, shell and emerging narrative environments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Make sure no script has an overly long run time or consider moving to workflow engine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9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Enable capturing of data on scripts run, script arguments in object provenance and workspace history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Firm up documentation for all scripts in the form of user manuals  (Redundant with 1d?)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Create tutorials for all import modeling and annotation workflows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12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For all commands/scripts with complex internal functionality, ensure that the more elemental functionality is separately packaged as services in KBase and enable scripts to report (log) parameters, etc in object provenance record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*Assembly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Microbial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Large Eukaryotic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                                         iii.     Metagenomic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                                          iv.     Benchmarking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*Short read mapping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DNAseq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RNAseq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Array probe sequences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*Variation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Factor “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Jnomics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” into automated pipeline analyses drawing data from reference sources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Factor “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Jnomics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” into individual services which perform aspects of variation calling, Mapping, etc.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*GWAS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*Genome to flux balance model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Improve the reliability of gapfilling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*Flux balance model + Experimental Data Reconciliation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*Scalable pipelines for metagenome to mixed bag models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Scalable plant metabolic model reconstruction pipeline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j.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Finalize the phenotype reconciliation pipeline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Regulation service: enable annotation of newly submitted genomes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Network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Integrate with Workspace Service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Full support of two types of networks visualization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Improve support of any types of nodes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                                 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   iv.    Implement adaptor for Neo4J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15.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**Develop and Deploy New Platform Level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Rick.10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Folker</w:t>
            </w:r>
            <w:proofErr w:type="spellEnd"/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*Create updated ID server, translation services, and versioning system (Overlaps with 8.b, 12.a)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Address issues related to provenance, workspaces, etc.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*Create extensible “MG-RAST like” 16s, WGW Annotation and Analysis Pipeline in KBase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Fully supported in KBase instance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Duplicate existing functionality and performance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Plan user modifiable version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*Create extensible “RAST like” Annotation and Analysis Pipeline in KBase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Fully supported in KBase instance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Duplicate existing functionality and performance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Plan user modifiable version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Determine if MGRAST2 and RAST2 can use any common elements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Develop an Ontology Service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Extended, Merge and Factor Tree and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orthology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paralogy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services based on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Gramene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, Ensemble, Berkeley,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Phytozome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, Xia/Olsen, etc.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16.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IRIS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Adam.6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Jim</w:t>
            </w: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*Firm up IRIS as a platform for running the modeling, genome annotation, variation, and workspace manipulation scripts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*Make sure IRIS serves can run all scripts/CLI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*Add ability to flip between terminal input and UI input for upload and download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Make minor improvements in usability, but no major new development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Integrate with workspace browser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Coordinate with Narrative team for consistent functionality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17.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Search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Adam.7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Dylan</w:t>
            </w: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*Ensure that the already built text search infrastructure is working and doing what we need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*Build text search infrastructure that queries the CDM, workspace and ADM and Metadata contents and drives users to those landing pages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*Implement a sequence search capability that can query CDM, workspace and ADM hosted sequence data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*Ensure cross-search of reference genomes and metagenomic data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*Drives to landing pages and the ability to create data sets for analysis in a workspace.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Implement a phylogeny/taxon search capability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API for live generation of stats like the "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Kbase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includes" data table on kbase.us home page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18.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*KBase Labs Cleaning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Adam.8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Annette</w:t>
            </w: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Ensure all KBase Labs are functional and robust and running from KBase namespace or remove them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Ensure uniform standards for Splash page, user commentary, etc.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Implement tracking of usage of Labs elements so interest can be tracked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Implement Lab element retiring process and process for upgrading to application status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19.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 UX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Adam.9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Shiran</w:t>
            </w:r>
            <w:proofErr w:type="spellEnd"/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*Design and implement widget technology specifications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9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*Implement uniform widgets for genome browsing, tree browsing, metabolic model visualization, regulatory model visualization, expression visualization, network visualization, basic graphs and tables.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*Optimized website for unified narrative, search and documentation.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 Optimized website for users and developers to find documentation, tutorials, share code snippets, etc.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20.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*Narrative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Adam.10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Chan</w:t>
            </w: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*Develop the user login and front management framework for managing self, team, narratives and workspace.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*Develop service browser to allow users to efficiently find the services they need relevant to the data with which they are working.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9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*Prototype the narrative engine and language that capture user's actions, assertions, provenance and parameters of data and services, state information from widgets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,  and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team interactions of with narrative elements.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12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*Prototype narrative client with iPython allows users to operate on data brought in from workspaces and search with services that may be embedded widgets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,  write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with rich text (with copy and paste of formatted text and images), and cut-and-past of narrative cells between documents.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*Prototype narrative publishing framework.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Develop policies for persistence, versioning, interaction with workspace, sharing, and metadata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Work with biological assertion teams (Ross, and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Paramvir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/Bill/Pavel) to ensure compatibility with logic engines.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h.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Develop 3-5 exemplar Narratives across domains.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21.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**Extend Runtime/Bootstrap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Rick.11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Dan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*Review current services and move third party dependencies to runtime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*Add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shock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awe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</w:t>
            </w:r>
            <w:proofErr w:type="spellStart"/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metazen</w:t>
            </w:r>
            <w:proofErr w:type="spellEnd"/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prolog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bio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-pieces,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             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etc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900" w:firstLine="1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Survey for missing items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300" w:firstLine="65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22.</w:t>
            </w:r>
            <w:r w:rsidRPr="003A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Evaluation Alternative Data Store and Data Modeling Concepts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300" w:firstLine="65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Rick.12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300" w:firstLine="65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Olson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*Factor CDM into a consistent core and possible inconsistent “lobes”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*Prototype KBase wide REST data access layer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*Prototype dumping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denormalized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CDM objects to noSQL documents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Prototype a semi-structured Repository to CDM flow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Unstructured data files that link to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Kbase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Objects (Adam: What does this mean?)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23.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*Software Development and Deployment Testing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Rick.13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Miriam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*Put in place change control process and clear module owners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*Generate regression tests from all tutorials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*Generate end to end tests for key workflows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Generate some performance tests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Bundle testing into nightly automated runs with reporting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Generate heart-beat tests for all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Integrate test reporting and logging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24.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 Sharing of data objects (pre-publication)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Rick.14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Folker</w:t>
            </w:r>
            <w:proofErr w:type="spellEnd"/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*Enable pre-publication sharing of data via sending a sharing token to user (for ADM and workspaces)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Enable anonymous tokens for reviewers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Require minimum domain specific metadata for sharing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25.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*Harden and Improve Authorization and Authentication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Adam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?.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Steve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*Provide SLA for authentication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*Improve stable, secure authorization services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Define and support KBase group and project grouping scheme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Ensure group ACLs are in place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Provide web and 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cmd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-line front-ends for authorization management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26.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Management items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Adam</w:t>
            </w:r>
            <w:proofErr w:type="gram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?.</w:t>
            </w:r>
            <w:proofErr w:type="gram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C0E" w:rsidRPr="003A0C0E" w:rsidRDefault="003A0C0E" w:rsidP="003A0C0E">
            <w:pPr>
              <w:ind w:firstLineChars="300" w:firstLine="6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Bob</w:t>
            </w: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Foundation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Finalize OSS License Language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Develop communications procedure for: updating website, coordinating and publishing KBase papers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6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Develop schedule and procedure for DOE reporting that is well communicated to the team. (</w:t>
            </w:r>
            <w:proofErr w:type="spellStart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Inreach</w:t>
            </w:r>
            <w:proofErr w:type="spellEnd"/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A0C0E" w:rsidRPr="003A0C0E" w:rsidTr="003A0C0E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e.</w:t>
            </w:r>
            <w:r w:rsidRPr="003A0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</w:t>
            </w:r>
            <w:r w:rsidRPr="003A0C0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413 and Risk Analysis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C0E" w:rsidRPr="003A0C0E" w:rsidRDefault="003A0C0E" w:rsidP="003A0C0E">
            <w:pPr>
              <w:ind w:firstLineChars="600" w:firstLine="120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</w:tbl>
    <w:p w:rsidR="00752875" w:rsidRPr="003A0C0E" w:rsidRDefault="00752875">
      <w:pPr>
        <w:rPr>
          <w:sz w:val="20"/>
          <w:szCs w:val="20"/>
        </w:rPr>
      </w:pPr>
    </w:p>
    <w:bookmarkEnd w:id="0"/>
    <w:sectPr w:rsidR="00752875" w:rsidRPr="003A0C0E" w:rsidSect="003A0C0E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16CA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0E"/>
    <w:rsid w:val="003A0C0E"/>
    <w:rsid w:val="00752875"/>
    <w:rsid w:val="008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53F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unhideWhenUsed/>
    <w:qFormat/>
    <w:rsid w:val="008B26CA"/>
    <w:pPr>
      <w:numPr>
        <w:numId w:val="3"/>
      </w:numPr>
      <w:spacing w:after="120"/>
      <w:contextualSpacing/>
    </w:pPr>
    <w:rPr>
      <w:rFonts w:ascii="Calibri" w:hAnsi="Calibri"/>
      <w:sz w:val="2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8B26CA"/>
    <w:pPr>
      <w:spacing w:after="120"/>
    </w:pPr>
    <w:rPr>
      <w:rFonts w:ascii="Calibri" w:hAnsi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B26CA"/>
    <w:rPr>
      <w:rFonts w:ascii="Calibri" w:hAnsi="Calibri"/>
      <w:sz w:val="22"/>
    </w:rPr>
  </w:style>
  <w:style w:type="paragraph" w:styleId="List2">
    <w:name w:val="List 2"/>
    <w:basedOn w:val="Normal"/>
    <w:autoRedefine/>
    <w:uiPriority w:val="99"/>
    <w:unhideWhenUsed/>
    <w:qFormat/>
    <w:rsid w:val="008B26CA"/>
    <w:pPr>
      <w:ind w:left="720" w:hanging="360"/>
      <w:contextualSpacing/>
    </w:pPr>
    <w:rPr>
      <w:rFonts w:ascii="Calibri" w:hAnsi="Calibri"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B26CA"/>
    <w:pPr>
      <w:ind w:left="220"/>
      <w:jc w:val="both"/>
    </w:pPr>
    <w:rPr>
      <w:rFonts w:ascii="Calibri" w:hAnsi="Calibr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B26CA"/>
    <w:pPr>
      <w:ind w:left="440"/>
      <w:jc w:val="both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A0C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C0E"/>
    <w:rPr>
      <w:color w:val="800080"/>
      <w:u w:val="single"/>
    </w:rPr>
  </w:style>
  <w:style w:type="paragraph" w:customStyle="1" w:styleId="font5">
    <w:name w:val="font5"/>
    <w:basedOn w:val="Normal"/>
    <w:rsid w:val="003A0C0E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6">
    <w:name w:val="font6"/>
    <w:basedOn w:val="Normal"/>
    <w:rsid w:val="003A0C0E"/>
    <w:pPr>
      <w:spacing w:before="100" w:beforeAutospacing="1" w:after="100" w:afterAutospacing="1"/>
    </w:pPr>
    <w:rPr>
      <w:rFonts w:ascii="Times New Roman" w:hAnsi="Times New Roman"/>
      <w:color w:val="000000"/>
      <w:sz w:val="14"/>
      <w:szCs w:val="14"/>
    </w:rPr>
  </w:style>
  <w:style w:type="paragraph" w:customStyle="1" w:styleId="font7">
    <w:name w:val="font7"/>
    <w:basedOn w:val="Normal"/>
    <w:rsid w:val="003A0C0E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font8">
    <w:name w:val="font8"/>
    <w:basedOn w:val="Normal"/>
    <w:rsid w:val="003A0C0E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9">
    <w:name w:val="font9"/>
    <w:basedOn w:val="Normal"/>
    <w:rsid w:val="003A0C0E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10">
    <w:name w:val="font10"/>
    <w:basedOn w:val="Normal"/>
    <w:rsid w:val="003A0C0E"/>
    <w:pPr>
      <w:spacing w:before="100" w:beforeAutospacing="1" w:after="100" w:afterAutospacing="1"/>
    </w:pPr>
    <w:rPr>
      <w:rFonts w:ascii="Times New Roman" w:hAnsi="Times New Roman"/>
      <w:color w:val="000000"/>
      <w:sz w:val="14"/>
      <w:szCs w:val="14"/>
    </w:rPr>
  </w:style>
  <w:style w:type="paragraph" w:customStyle="1" w:styleId="font11">
    <w:name w:val="font11"/>
    <w:basedOn w:val="Normal"/>
    <w:rsid w:val="003A0C0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63">
    <w:name w:val="xl63"/>
    <w:basedOn w:val="Normal"/>
    <w:rsid w:val="003A0C0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64">
    <w:name w:val="xl64"/>
    <w:basedOn w:val="Normal"/>
    <w:rsid w:val="003A0C0E"/>
    <w:pPr>
      <w:spacing w:before="100" w:beforeAutospacing="1" w:after="100" w:afterAutospacing="1"/>
      <w:ind w:firstLineChars="300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3A0C0E"/>
    <w:pPr>
      <w:spacing w:before="100" w:beforeAutospacing="1" w:after="100" w:afterAutospacing="1"/>
      <w:ind w:firstLineChars="600"/>
      <w:textAlignment w:val="center"/>
    </w:pPr>
    <w:rPr>
      <w:rFonts w:ascii="Cambria" w:hAnsi="Cambria"/>
      <w:sz w:val="20"/>
      <w:szCs w:val="20"/>
    </w:rPr>
  </w:style>
  <w:style w:type="paragraph" w:customStyle="1" w:styleId="xl66">
    <w:name w:val="xl66"/>
    <w:basedOn w:val="Normal"/>
    <w:rsid w:val="003A0C0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7">
    <w:name w:val="xl67"/>
    <w:basedOn w:val="Normal"/>
    <w:rsid w:val="003A0C0E"/>
    <w:pPr>
      <w:spacing w:before="100" w:beforeAutospacing="1" w:after="100" w:afterAutospacing="1"/>
      <w:ind w:firstLineChars="900"/>
      <w:textAlignment w:val="center"/>
    </w:pPr>
    <w:rPr>
      <w:rFonts w:ascii="Times New Roman" w:hAnsi="Times New Roman"/>
      <w:sz w:val="14"/>
      <w:szCs w:val="14"/>
    </w:rPr>
  </w:style>
  <w:style w:type="paragraph" w:customStyle="1" w:styleId="xl68">
    <w:name w:val="xl68"/>
    <w:basedOn w:val="Normal"/>
    <w:rsid w:val="003A0C0E"/>
    <w:pPr>
      <w:spacing w:before="100" w:beforeAutospacing="1" w:after="100" w:afterAutospacing="1"/>
      <w:ind w:firstLineChars="1200"/>
      <w:textAlignment w:val="center"/>
    </w:pPr>
    <w:rPr>
      <w:rFonts w:ascii="Cambria" w:hAnsi="Cambria"/>
      <w:sz w:val="20"/>
      <w:szCs w:val="20"/>
    </w:rPr>
  </w:style>
  <w:style w:type="paragraph" w:customStyle="1" w:styleId="xl69">
    <w:name w:val="xl69"/>
    <w:basedOn w:val="Normal"/>
    <w:rsid w:val="003A0C0E"/>
    <w:pPr>
      <w:spacing w:before="100" w:beforeAutospacing="1" w:after="100" w:afterAutospacing="1"/>
      <w:ind w:firstLineChars="900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3A0C0E"/>
    <w:pPr>
      <w:spacing w:before="100" w:beforeAutospacing="1" w:after="100" w:afterAutospacing="1"/>
      <w:ind w:firstLineChars="400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3A0C0E"/>
    <w:pPr>
      <w:shd w:val="clear" w:color="000000" w:fill="D9D9D9"/>
      <w:spacing w:before="100" w:beforeAutospacing="1" w:after="100" w:afterAutospacing="1"/>
      <w:ind w:firstLineChars="300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3A0C0E"/>
    <w:pPr>
      <w:shd w:val="clear" w:color="000000" w:fill="D9D9D9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73">
    <w:name w:val="xl73"/>
    <w:basedOn w:val="Normal"/>
    <w:rsid w:val="003A0C0E"/>
    <w:pPr>
      <w:spacing w:before="100" w:beforeAutospacing="1" w:after="100" w:afterAutospacing="1"/>
      <w:ind w:firstLineChars="1500"/>
      <w:textAlignment w:val="center"/>
    </w:pPr>
    <w:rPr>
      <w:rFonts w:ascii="Cambria" w:hAnsi="Cambria"/>
      <w:sz w:val="20"/>
      <w:szCs w:val="20"/>
    </w:rPr>
  </w:style>
  <w:style w:type="paragraph" w:customStyle="1" w:styleId="xl74">
    <w:name w:val="xl74"/>
    <w:basedOn w:val="Normal"/>
    <w:rsid w:val="003A0C0E"/>
    <w:pPr>
      <w:spacing w:before="100" w:beforeAutospacing="1" w:after="100" w:afterAutospacing="1"/>
      <w:ind w:firstLineChars="1600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3A0C0E"/>
    <w:pPr>
      <w:spacing w:before="100" w:beforeAutospacing="1" w:after="100" w:afterAutospacing="1"/>
      <w:ind w:firstLineChars="900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76">
    <w:name w:val="xl76"/>
    <w:basedOn w:val="Normal"/>
    <w:rsid w:val="003A0C0E"/>
    <w:pPr>
      <w:spacing w:before="100" w:beforeAutospacing="1" w:after="100" w:afterAutospacing="1"/>
      <w:ind w:firstLineChars="1800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3A0C0E"/>
    <w:pPr>
      <w:spacing w:before="100" w:beforeAutospacing="1" w:after="100" w:afterAutospacing="1"/>
      <w:ind w:firstLineChars="500"/>
      <w:textAlignment w:val="center"/>
    </w:pPr>
    <w:rPr>
      <w:rFonts w:ascii="Cambria" w:hAnsi="Cambria"/>
      <w:sz w:val="20"/>
      <w:szCs w:val="20"/>
    </w:rPr>
  </w:style>
  <w:style w:type="paragraph" w:customStyle="1" w:styleId="xl78">
    <w:name w:val="xl78"/>
    <w:basedOn w:val="Normal"/>
    <w:rsid w:val="003A0C0E"/>
    <w:pPr>
      <w:spacing w:before="100" w:beforeAutospacing="1" w:after="100" w:afterAutospacing="1"/>
      <w:ind w:firstLineChars="900"/>
      <w:textAlignment w:val="center"/>
    </w:pPr>
    <w:rPr>
      <w:rFonts w:ascii="Cambria" w:hAnsi="Cambria"/>
      <w:color w:val="000000"/>
      <w:sz w:val="20"/>
      <w:szCs w:val="20"/>
    </w:rPr>
  </w:style>
  <w:style w:type="paragraph" w:customStyle="1" w:styleId="xl79">
    <w:name w:val="xl79"/>
    <w:basedOn w:val="Normal"/>
    <w:rsid w:val="003A0C0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80">
    <w:name w:val="xl80"/>
    <w:basedOn w:val="Normal"/>
    <w:rsid w:val="003A0C0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1">
    <w:name w:val="xl81"/>
    <w:basedOn w:val="Normal"/>
    <w:rsid w:val="003A0C0E"/>
    <w:pPr>
      <w:spacing w:before="100" w:beforeAutospacing="1" w:after="100" w:afterAutospacing="1"/>
      <w:ind w:firstLineChars="1800"/>
      <w:textAlignment w:val="center"/>
    </w:pPr>
    <w:rPr>
      <w:rFonts w:ascii="Cambria" w:hAnsi="Cambria"/>
      <w:color w:val="FF0000"/>
      <w:sz w:val="20"/>
      <w:szCs w:val="20"/>
    </w:rPr>
  </w:style>
  <w:style w:type="paragraph" w:customStyle="1" w:styleId="xl82">
    <w:name w:val="xl82"/>
    <w:basedOn w:val="Normal"/>
    <w:rsid w:val="003A0C0E"/>
    <w:pPr>
      <w:shd w:val="clear" w:color="000000" w:fill="FFFF00"/>
      <w:spacing w:before="100" w:beforeAutospacing="1" w:after="100" w:afterAutospacing="1"/>
      <w:ind w:firstLineChars="300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83">
    <w:name w:val="xl83"/>
    <w:basedOn w:val="Normal"/>
    <w:rsid w:val="003A0C0E"/>
    <w:pPr>
      <w:shd w:val="clear" w:color="000000" w:fill="FFFF00"/>
      <w:spacing w:before="100" w:beforeAutospacing="1" w:after="100" w:afterAutospacing="1"/>
      <w:ind w:firstLineChars="600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3A0C0E"/>
    <w:pPr>
      <w:shd w:val="clear" w:color="000000" w:fill="FFFF00"/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3A0C0E"/>
    <w:pPr>
      <w:shd w:val="clear" w:color="000000" w:fill="FFFF00"/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unhideWhenUsed/>
    <w:qFormat/>
    <w:rsid w:val="008B26CA"/>
    <w:pPr>
      <w:numPr>
        <w:numId w:val="3"/>
      </w:numPr>
      <w:spacing w:after="120"/>
      <w:contextualSpacing/>
    </w:pPr>
    <w:rPr>
      <w:rFonts w:ascii="Calibri" w:hAnsi="Calibri"/>
      <w:sz w:val="2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8B26CA"/>
    <w:pPr>
      <w:spacing w:after="120"/>
    </w:pPr>
    <w:rPr>
      <w:rFonts w:ascii="Calibri" w:hAnsi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B26CA"/>
    <w:rPr>
      <w:rFonts w:ascii="Calibri" w:hAnsi="Calibri"/>
      <w:sz w:val="22"/>
    </w:rPr>
  </w:style>
  <w:style w:type="paragraph" w:styleId="List2">
    <w:name w:val="List 2"/>
    <w:basedOn w:val="Normal"/>
    <w:autoRedefine/>
    <w:uiPriority w:val="99"/>
    <w:unhideWhenUsed/>
    <w:qFormat/>
    <w:rsid w:val="008B26CA"/>
    <w:pPr>
      <w:ind w:left="720" w:hanging="360"/>
      <w:contextualSpacing/>
    </w:pPr>
    <w:rPr>
      <w:rFonts w:ascii="Calibri" w:hAnsi="Calibri"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B26CA"/>
    <w:pPr>
      <w:ind w:left="220"/>
      <w:jc w:val="both"/>
    </w:pPr>
    <w:rPr>
      <w:rFonts w:ascii="Calibri" w:hAnsi="Calibr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B26CA"/>
    <w:pPr>
      <w:ind w:left="440"/>
      <w:jc w:val="both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A0C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C0E"/>
    <w:rPr>
      <w:color w:val="800080"/>
      <w:u w:val="single"/>
    </w:rPr>
  </w:style>
  <w:style w:type="paragraph" w:customStyle="1" w:styleId="font5">
    <w:name w:val="font5"/>
    <w:basedOn w:val="Normal"/>
    <w:rsid w:val="003A0C0E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6">
    <w:name w:val="font6"/>
    <w:basedOn w:val="Normal"/>
    <w:rsid w:val="003A0C0E"/>
    <w:pPr>
      <w:spacing w:before="100" w:beforeAutospacing="1" w:after="100" w:afterAutospacing="1"/>
    </w:pPr>
    <w:rPr>
      <w:rFonts w:ascii="Times New Roman" w:hAnsi="Times New Roman"/>
      <w:color w:val="000000"/>
      <w:sz w:val="14"/>
      <w:szCs w:val="14"/>
    </w:rPr>
  </w:style>
  <w:style w:type="paragraph" w:customStyle="1" w:styleId="font7">
    <w:name w:val="font7"/>
    <w:basedOn w:val="Normal"/>
    <w:rsid w:val="003A0C0E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font8">
    <w:name w:val="font8"/>
    <w:basedOn w:val="Normal"/>
    <w:rsid w:val="003A0C0E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9">
    <w:name w:val="font9"/>
    <w:basedOn w:val="Normal"/>
    <w:rsid w:val="003A0C0E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10">
    <w:name w:val="font10"/>
    <w:basedOn w:val="Normal"/>
    <w:rsid w:val="003A0C0E"/>
    <w:pPr>
      <w:spacing w:before="100" w:beforeAutospacing="1" w:after="100" w:afterAutospacing="1"/>
    </w:pPr>
    <w:rPr>
      <w:rFonts w:ascii="Times New Roman" w:hAnsi="Times New Roman"/>
      <w:color w:val="000000"/>
      <w:sz w:val="14"/>
      <w:szCs w:val="14"/>
    </w:rPr>
  </w:style>
  <w:style w:type="paragraph" w:customStyle="1" w:styleId="font11">
    <w:name w:val="font11"/>
    <w:basedOn w:val="Normal"/>
    <w:rsid w:val="003A0C0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63">
    <w:name w:val="xl63"/>
    <w:basedOn w:val="Normal"/>
    <w:rsid w:val="003A0C0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64">
    <w:name w:val="xl64"/>
    <w:basedOn w:val="Normal"/>
    <w:rsid w:val="003A0C0E"/>
    <w:pPr>
      <w:spacing w:before="100" w:beforeAutospacing="1" w:after="100" w:afterAutospacing="1"/>
      <w:ind w:firstLineChars="300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3A0C0E"/>
    <w:pPr>
      <w:spacing w:before="100" w:beforeAutospacing="1" w:after="100" w:afterAutospacing="1"/>
      <w:ind w:firstLineChars="600"/>
      <w:textAlignment w:val="center"/>
    </w:pPr>
    <w:rPr>
      <w:rFonts w:ascii="Cambria" w:hAnsi="Cambria"/>
      <w:sz w:val="20"/>
      <w:szCs w:val="20"/>
    </w:rPr>
  </w:style>
  <w:style w:type="paragraph" w:customStyle="1" w:styleId="xl66">
    <w:name w:val="xl66"/>
    <w:basedOn w:val="Normal"/>
    <w:rsid w:val="003A0C0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7">
    <w:name w:val="xl67"/>
    <w:basedOn w:val="Normal"/>
    <w:rsid w:val="003A0C0E"/>
    <w:pPr>
      <w:spacing w:before="100" w:beforeAutospacing="1" w:after="100" w:afterAutospacing="1"/>
      <w:ind w:firstLineChars="900"/>
      <w:textAlignment w:val="center"/>
    </w:pPr>
    <w:rPr>
      <w:rFonts w:ascii="Times New Roman" w:hAnsi="Times New Roman"/>
      <w:sz w:val="14"/>
      <w:szCs w:val="14"/>
    </w:rPr>
  </w:style>
  <w:style w:type="paragraph" w:customStyle="1" w:styleId="xl68">
    <w:name w:val="xl68"/>
    <w:basedOn w:val="Normal"/>
    <w:rsid w:val="003A0C0E"/>
    <w:pPr>
      <w:spacing w:before="100" w:beforeAutospacing="1" w:after="100" w:afterAutospacing="1"/>
      <w:ind w:firstLineChars="1200"/>
      <w:textAlignment w:val="center"/>
    </w:pPr>
    <w:rPr>
      <w:rFonts w:ascii="Cambria" w:hAnsi="Cambria"/>
      <w:sz w:val="20"/>
      <w:szCs w:val="20"/>
    </w:rPr>
  </w:style>
  <w:style w:type="paragraph" w:customStyle="1" w:styleId="xl69">
    <w:name w:val="xl69"/>
    <w:basedOn w:val="Normal"/>
    <w:rsid w:val="003A0C0E"/>
    <w:pPr>
      <w:spacing w:before="100" w:beforeAutospacing="1" w:after="100" w:afterAutospacing="1"/>
      <w:ind w:firstLineChars="900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3A0C0E"/>
    <w:pPr>
      <w:spacing w:before="100" w:beforeAutospacing="1" w:after="100" w:afterAutospacing="1"/>
      <w:ind w:firstLineChars="400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3A0C0E"/>
    <w:pPr>
      <w:shd w:val="clear" w:color="000000" w:fill="D9D9D9"/>
      <w:spacing w:before="100" w:beforeAutospacing="1" w:after="100" w:afterAutospacing="1"/>
      <w:ind w:firstLineChars="300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3A0C0E"/>
    <w:pPr>
      <w:shd w:val="clear" w:color="000000" w:fill="D9D9D9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73">
    <w:name w:val="xl73"/>
    <w:basedOn w:val="Normal"/>
    <w:rsid w:val="003A0C0E"/>
    <w:pPr>
      <w:spacing w:before="100" w:beforeAutospacing="1" w:after="100" w:afterAutospacing="1"/>
      <w:ind w:firstLineChars="1500"/>
      <w:textAlignment w:val="center"/>
    </w:pPr>
    <w:rPr>
      <w:rFonts w:ascii="Cambria" w:hAnsi="Cambria"/>
      <w:sz w:val="20"/>
      <w:szCs w:val="20"/>
    </w:rPr>
  </w:style>
  <w:style w:type="paragraph" w:customStyle="1" w:styleId="xl74">
    <w:name w:val="xl74"/>
    <w:basedOn w:val="Normal"/>
    <w:rsid w:val="003A0C0E"/>
    <w:pPr>
      <w:spacing w:before="100" w:beforeAutospacing="1" w:after="100" w:afterAutospacing="1"/>
      <w:ind w:firstLineChars="1600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3A0C0E"/>
    <w:pPr>
      <w:spacing w:before="100" w:beforeAutospacing="1" w:after="100" w:afterAutospacing="1"/>
      <w:ind w:firstLineChars="900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76">
    <w:name w:val="xl76"/>
    <w:basedOn w:val="Normal"/>
    <w:rsid w:val="003A0C0E"/>
    <w:pPr>
      <w:spacing w:before="100" w:beforeAutospacing="1" w:after="100" w:afterAutospacing="1"/>
      <w:ind w:firstLineChars="1800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3A0C0E"/>
    <w:pPr>
      <w:spacing w:before="100" w:beforeAutospacing="1" w:after="100" w:afterAutospacing="1"/>
      <w:ind w:firstLineChars="500"/>
      <w:textAlignment w:val="center"/>
    </w:pPr>
    <w:rPr>
      <w:rFonts w:ascii="Cambria" w:hAnsi="Cambria"/>
      <w:sz w:val="20"/>
      <w:szCs w:val="20"/>
    </w:rPr>
  </w:style>
  <w:style w:type="paragraph" w:customStyle="1" w:styleId="xl78">
    <w:name w:val="xl78"/>
    <w:basedOn w:val="Normal"/>
    <w:rsid w:val="003A0C0E"/>
    <w:pPr>
      <w:spacing w:before="100" w:beforeAutospacing="1" w:after="100" w:afterAutospacing="1"/>
      <w:ind w:firstLineChars="900"/>
      <w:textAlignment w:val="center"/>
    </w:pPr>
    <w:rPr>
      <w:rFonts w:ascii="Cambria" w:hAnsi="Cambria"/>
      <w:color w:val="000000"/>
      <w:sz w:val="20"/>
      <w:szCs w:val="20"/>
    </w:rPr>
  </w:style>
  <w:style w:type="paragraph" w:customStyle="1" w:styleId="xl79">
    <w:name w:val="xl79"/>
    <w:basedOn w:val="Normal"/>
    <w:rsid w:val="003A0C0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80">
    <w:name w:val="xl80"/>
    <w:basedOn w:val="Normal"/>
    <w:rsid w:val="003A0C0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1">
    <w:name w:val="xl81"/>
    <w:basedOn w:val="Normal"/>
    <w:rsid w:val="003A0C0E"/>
    <w:pPr>
      <w:spacing w:before="100" w:beforeAutospacing="1" w:after="100" w:afterAutospacing="1"/>
      <w:ind w:firstLineChars="1800"/>
      <w:textAlignment w:val="center"/>
    </w:pPr>
    <w:rPr>
      <w:rFonts w:ascii="Cambria" w:hAnsi="Cambria"/>
      <w:color w:val="FF0000"/>
      <w:sz w:val="20"/>
      <w:szCs w:val="20"/>
    </w:rPr>
  </w:style>
  <w:style w:type="paragraph" w:customStyle="1" w:styleId="xl82">
    <w:name w:val="xl82"/>
    <w:basedOn w:val="Normal"/>
    <w:rsid w:val="003A0C0E"/>
    <w:pPr>
      <w:shd w:val="clear" w:color="000000" w:fill="FFFF00"/>
      <w:spacing w:before="100" w:beforeAutospacing="1" w:after="100" w:afterAutospacing="1"/>
      <w:ind w:firstLineChars="300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83">
    <w:name w:val="xl83"/>
    <w:basedOn w:val="Normal"/>
    <w:rsid w:val="003A0C0E"/>
    <w:pPr>
      <w:shd w:val="clear" w:color="000000" w:fill="FFFF00"/>
      <w:spacing w:before="100" w:beforeAutospacing="1" w:after="100" w:afterAutospacing="1"/>
      <w:ind w:firstLineChars="600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3A0C0E"/>
    <w:pPr>
      <w:shd w:val="clear" w:color="000000" w:fill="FFFF00"/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3A0C0E"/>
    <w:pPr>
      <w:shd w:val="clear" w:color="000000" w:fill="FFFF00"/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3443</Words>
  <Characters>19628</Characters>
  <Application>Microsoft Macintosh Word</Application>
  <DocSecurity>0</DocSecurity>
  <Lines>163</Lines>
  <Paragraphs>46</Paragraphs>
  <ScaleCrop>false</ScaleCrop>
  <Company>The University of Chicago</Company>
  <LinksUpToDate>false</LinksUpToDate>
  <CharactersWithSpaces>23025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Stevens</dc:creator>
  <cp:keywords/>
  <dc:description/>
  <cp:lastModifiedBy>Rick Stevens</cp:lastModifiedBy>
  <cp:revision>1</cp:revision>
  <dcterms:created xsi:type="dcterms:W3CDTF">2013-06-03T13:44:00Z</dcterms:created>
  <dcterms:modified xsi:type="dcterms:W3CDTF">2013-06-03T13:46:00Z</dcterms:modified>
</cp:coreProperties>
</file>